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DDE" w:rsidRPr="008263ED" w:rsidRDefault="00E32DDE" w:rsidP="00E32DDE">
      <w:pPr>
        <w:jc w:val="center"/>
        <w:rPr>
          <w:rFonts w:cstheme="minorHAnsi"/>
          <w:b/>
          <w:sz w:val="30"/>
          <w:szCs w:val="30"/>
        </w:rPr>
      </w:pPr>
      <w:bookmarkStart w:id="0" w:name="_GoBack"/>
      <w:bookmarkEnd w:id="0"/>
      <w:r w:rsidRPr="008263ED">
        <w:rPr>
          <w:rFonts w:cstheme="minorHAnsi"/>
          <w:b/>
          <w:sz w:val="30"/>
          <w:szCs w:val="30"/>
        </w:rPr>
        <w:t>Corrigendum</w:t>
      </w:r>
    </w:p>
    <w:p w:rsidR="003F58F3" w:rsidRPr="008263ED" w:rsidRDefault="00E32DDE" w:rsidP="008263ED">
      <w:pPr>
        <w:ind w:left="-709" w:right="-23"/>
        <w:jc w:val="both"/>
        <w:rPr>
          <w:rFonts w:cstheme="minorHAnsi"/>
        </w:rPr>
      </w:pPr>
      <w:r w:rsidRPr="008263ED">
        <w:rPr>
          <w:rFonts w:cstheme="minorHAnsi"/>
        </w:rPr>
        <w:t xml:space="preserve">This is with reference to release of RFP of </w:t>
      </w:r>
      <w:r w:rsidRPr="008263ED">
        <w:rPr>
          <w:rFonts w:cstheme="minorHAnsi"/>
          <w:i/>
        </w:rPr>
        <w:t>“</w:t>
      </w:r>
      <w:r w:rsidR="005941DF" w:rsidRPr="005941DF">
        <w:rPr>
          <w:rFonts w:cstheme="minorHAnsi"/>
          <w:i/>
        </w:rPr>
        <w:t>Development of Multi-Level Car Parking</w:t>
      </w:r>
      <w:r w:rsidR="005941DF">
        <w:rPr>
          <w:rFonts w:cstheme="minorHAnsi"/>
          <w:i/>
        </w:rPr>
        <w:t xml:space="preserve"> on D.B.F.O.T. at Civic Center, </w:t>
      </w:r>
      <w:r w:rsidR="005941DF" w:rsidRPr="005941DF">
        <w:rPr>
          <w:rFonts w:cstheme="minorHAnsi"/>
          <w:i/>
        </w:rPr>
        <w:t>Jabalpur</w:t>
      </w:r>
      <w:r w:rsidRPr="008263ED">
        <w:rPr>
          <w:rFonts w:cstheme="minorHAnsi"/>
          <w:i/>
        </w:rPr>
        <w:t>”</w:t>
      </w:r>
      <w:r w:rsidRPr="008263ED">
        <w:rPr>
          <w:rFonts w:cstheme="minorHAnsi"/>
        </w:rPr>
        <w:t xml:space="preserve"> on Tender No. JMC/TENDER NO.-199</w:t>
      </w:r>
      <w:r w:rsidR="005941DF">
        <w:rPr>
          <w:rFonts w:cstheme="minorHAnsi"/>
        </w:rPr>
        <w:t>4</w:t>
      </w:r>
      <w:r w:rsidRPr="008263ED">
        <w:rPr>
          <w:rFonts w:cstheme="minorHAnsi"/>
        </w:rPr>
        <w:t xml:space="preserve"> on website of </w:t>
      </w:r>
      <w:hyperlink r:id="rId6" w:history="1">
        <w:r w:rsidRPr="008263ED">
          <w:rPr>
            <w:rStyle w:val="Hyperlink"/>
            <w:rFonts w:cstheme="minorHAnsi"/>
          </w:rPr>
          <w:t>https://www.mpeproc.gov.in</w:t>
        </w:r>
      </w:hyperlink>
      <w:r w:rsidRPr="008263ED">
        <w:rPr>
          <w:rFonts w:cstheme="minorHAnsi"/>
        </w:rPr>
        <w:t xml:space="preserve"> and </w:t>
      </w:r>
      <w:hyperlink r:id="rId7" w:history="1">
        <w:r w:rsidRPr="008263ED">
          <w:rPr>
            <w:rStyle w:val="Hyperlink"/>
            <w:rFonts w:cstheme="minorHAnsi"/>
          </w:rPr>
          <w:t>www.jscljabalpur.org</w:t>
        </w:r>
      </w:hyperlink>
      <w:r w:rsidRPr="008263ED">
        <w:rPr>
          <w:rFonts w:cstheme="minorHAnsi"/>
        </w:rPr>
        <w:t xml:space="preserve"> dated 2nd November, 2016. It is to be informed to all the bidders that there have been some amendments and corrections are proposed</w:t>
      </w:r>
      <w:r w:rsidR="005941DF">
        <w:rPr>
          <w:rFonts w:cstheme="minorHAnsi"/>
        </w:rPr>
        <w:t xml:space="preserve"> in the RFP. </w:t>
      </w:r>
      <w:r w:rsidRPr="008263ED">
        <w:rPr>
          <w:rFonts w:cstheme="minorHAnsi"/>
        </w:rPr>
        <w:t>These amendments and corrections are mentioned below.</w:t>
      </w: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713"/>
        <w:gridCol w:w="5351"/>
      </w:tblGrid>
      <w:tr w:rsidR="008263ED" w:rsidRPr="008263ED" w:rsidTr="00714D47">
        <w:trPr>
          <w:trHeight w:val="330"/>
        </w:trPr>
        <w:tc>
          <w:tcPr>
            <w:tcW w:w="1135" w:type="dxa"/>
            <w:shd w:val="clear" w:color="auto" w:fill="auto"/>
            <w:noWrap/>
            <w:vAlign w:val="center"/>
            <w:hideMark/>
          </w:tcPr>
          <w:p w:rsidR="008263ED" w:rsidRPr="008263ED" w:rsidRDefault="008263ED" w:rsidP="008263ED">
            <w:pPr>
              <w:spacing w:after="0" w:line="240" w:lineRule="auto"/>
              <w:jc w:val="center"/>
              <w:rPr>
                <w:rFonts w:eastAsia="Times New Roman" w:cstheme="minorHAnsi"/>
                <w:b/>
                <w:bCs/>
                <w:sz w:val="26"/>
                <w:szCs w:val="26"/>
              </w:rPr>
            </w:pPr>
            <w:r w:rsidRPr="008263ED">
              <w:rPr>
                <w:rFonts w:eastAsia="Times New Roman" w:cstheme="minorHAnsi"/>
                <w:b/>
                <w:bCs/>
                <w:sz w:val="26"/>
                <w:szCs w:val="26"/>
              </w:rPr>
              <w:t>Under Clause No.</w:t>
            </w:r>
          </w:p>
        </w:tc>
        <w:tc>
          <w:tcPr>
            <w:tcW w:w="4713" w:type="dxa"/>
            <w:shd w:val="clear" w:color="auto" w:fill="auto"/>
            <w:noWrap/>
            <w:vAlign w:val="center"/>
            <w:hideMark/>
          </w:tcPr>
          <w:p w:rsidR="008263ED" w:rsidRPr="008263ED" w:rsidRDefault="008263ED" w:rsidP="008263ED">
            <w:pPr>
              <w:spacing w:after="0" w:line="240" w:lineRule="auto"/>
              <w:jc w:val="center"/>
              <w:rPr>
                <w:rFonts w:eastAsia="Times New Roman" w:cstheme="minorHAnsi"/>
                <w:b/>
                <w:bCs/>
                <w:sz w:val="26"/>
                <w:szCs w:val="26"/>
              </w:rPr>
            </w:pPr>
            <w:r w:rsidRPr="008263ED">
              <w:rPr>
                <w:rFonts w:eastAsia="Times New Roman" w:cstheme="minorHAnsi"/>
                <w:b/>
                <w:bCs/>
                <w:sz w:val="26"/>
                <w:szCs w:val="26"/>
              </w:rPr>
              <w:t>Mentioned in RFP</w:t>
            </w:r>
          </w:p>
        </w:tc>
        <w:tc>
          <w:tcPr>
            <w:tcW w:w="5351" w:type="dxa"/>
            <w:shd w:val="clear" w:color="auto" w:fill="auto"/>
            <w:noWrap/>
            <w:vAlign w:val="center"/>
            <w:hideMark/>
          </w:tcPr>
          <w:p w:rsidR="008263ED" w:rsidRPr="008263ED" w:rsidRDefault="008263ED" w:rsidP="008263ED">
            <w:pPr>
              <w:spacing w:after="0" w:line="240" w:lineRule="auto"/>
              <w:jc w:val="center"/>
              <w:rPr>
                <w:rFonts w:eastAsia="Times New Roman" w:cstheme="minorHAnsi"/>
                <w:b/>
                <w:bCs/>
                <w:sz w:val="26"/>
                <w:szCs w:val="26"/>
              </w:rPr>
            </w:pPr>
            <w:r w:rsidRPr="008263ED">
              <w:rPr>
                <w:rFonts w:eastAsia="Times New Roman" w:cstheme="minorHAnsi"/>
                <w:b/>
                <w:bCs/>
                <w:sz w:val="26"/>
                <w:szCs w:val="26"/>
              </w:rPr>
              <w:t xml:space="preserve">Should be read as </w:t>
            </w:r>
          </w:p>
        </w:tc>
      </w:tr>
      <w:tr w:rsidR="008263ED" w:rsidRPr="008263ED" w:rsidTr="00296BF6">
        <w:trPr>
          <w:trHeight w:val="2504"/>
        </w:trPr>
        <w:tc>
          <w:tcPr>
            <w:tcW w:w="1135" w:type="dxa"/>
            <w:shd w:val="clear" w:color="auto" w:fill="auto"/>
            <w:noWrap/>
            <w:hideMark/>
          </w:tcPr>
          <w:p w:rsidR="008263ED" w:rsidRPr="008263ED" w:rsidRDefault="008263ED" w:rsidP="008263ED">
            <w:pPr>
              <w:spacing w:after="0" w:line="240" w:lineRule="auto"/>
              <w:rPr>
                <w:rFonts w:eastAsia="Times New Roman" w:cstheme="minorHAnsi"/>
                <w:b/>
                <w:bCs/>
                <w:sz w:val="24"/>
                <w:szCs w:val="24"/>
              </w:rPr>
            </w:pPr>
            <w:bookmarkStart w:id="1" w:name="RANGE!A2"/>
            <w:r w:rsidRPr="008263ED">
              <w:rPr>
                <w:rFonts w:eastAsia="Times New Roman" w:cstheme="minorHAnsi"/>
                <w:b/>
                <w:bCs/>
                <w:sz w:val="24"/>
                <w:szCs w:val="24"/>
              </w:rPr>
              <w:t>2.1, page 9</w:t>
            </w:r>
            <w:bookmarkEnd w:id="1"/>
          </w:p>
        </w:tc>
        <w:tc>
          <w:tcPr>
            <w:tcW w:w="4713" w:type="dxa"/>
            <w:shd w:val="clear" w:color="auto" w:fill="auto"/>
            <w:noWrap/>
            <w:hideMark/>
          </w:tcPr>
          <w:p w:rsidR="008263ED" w:rsidRPr="00714D47" w:rsidRDefault="008263ED" w:rsidP="002430B8">
            <w:pPr>
              <w:spacing w:after="0" w:line="240" w:lineRule="auto"/>
              <w:jc w:val="both"/>
              <w:rPr>
                <w:rFonts w:eastAsia="Times New Roman" w:cstheme="minorHAnsi"/>
                <w:sz w:val="23"/>
                <w:szCs w:val="23"/>
              </w:rPr>
            </w:pPr>
            <w:r w:rsidRPr="00714D47">
              <w:rPr>
                <w:rFonts w:eastAsia="Times New Roman" w:cstheme="minorHAnsi"/>
                <w:sz w:val="23"/>
                <w:szCs w:val="23"/>
              </w:rPr>
              <w:t xml:space="preserve">The Successful Bidder shall develop the site and make certain payments to AUTHORITY in lieu of the development rights granted for the Project for “Concession </w:t>
            </w:r>
            <w:r w:rsidR="002430B8" w:rsidRPr="00714D47">
              <w:rPr>
                <w:rFonts w:eastAsia="Times New Roman" w:cstheme="minorHAnsi"/>
                <w:sz w:val="23"/>
                <w:szCs w:val="23"/>
              </w:rPr>
              <w:t>Period “and</w:t>
            </w:r>
            <w:r w:rsidRPr="00714D47">
              <w:rPr>
                <w:rFonts w:eastAsia="Times New Roman" w:cstheme="minorHAnsi"/>
                <w:sz w:val="23"/>
                <w:szCs w:val="23"/>
              </w:rPr>
              <w:t xml:space="preserve"> at the end of the Concession Period the Project will be transferred back to the Authority, in accordance with the provision of the Concession Agreement that will be executed in the format prescribed by the Authority.</w:t>
            </w:r>
          </w:p>
        </w:tc>
        <w:tc>
          <w:tcPr>
            <w:tcW w:w="5351" w:type="dxa"/>
            <w:shd w:val="clear" w:color="auto" w:fill="auto"/>
            <w:noWrap/>
            <w:hideMark/>
          </w:tcPr>
          <w:p w:rsidR="008263ED" w:rsidRPr="00714D47" w:rsidRDefault="008263ED" w:rsidP="002430B8">
            <w:pPr>
              <w:spacing w:after="0" w:line="240" w:lineRule="auto"/>
              <w:jc w:val="both"/>
              <w:rPr>
                <w:rFonts w:eastAsia="Times New Roman" w:cstheme="minorHAnsi"/>
                <w:sz w:val="23"/>
                <w:szCs w:val="23"/>
              </w:rPr>
            </w:pPr>
            <w:r w:rsidRPr="00714D47">
              <w:rPr>
                <w:rFonts w:eastAsia="Times New Roman" w:cstheme="minorHAnsi"/>
                <w:sz w:val="23"/>
                <w:szCs w:val="23"/>
              </w:rPr>
              <w:t>The Successful Bidder shall develop the site and at the end of the Concession Period the Project will be transferred back to the Authority, in accordance with the provision of the Concession Agreement that will be executed in the format prescribed by the Authority.</w:t>
            </w:r>
          </w:p>
        </w:tc>
      </w:tr>
      <w:tr w:rsidR="008263ED" w:rsidRPr="008263ED" w:rsidTr="00714D47">
        <w:trPr>
          <w:trHeight w:val="3263"/>
        </w:trPr>
        <w:tc>
          <w:tcPr>
            <w:tcW w:w="1135" w:type="dxa"/>
            <w:shd w:val="clear" w:color="auto" w:fill="auto"/>
            <w:hideMark/>
          </w:tcPr>
          <w:p w:rsidR="008263ED" w:rsidRPr="008263ED" w:rsidRDefault="008263ED" w:rsidP="008263ED">
            <w:pPr>
              <w:spacing w:after="0" w:line="240" w:lineRule="auto"/>
              <w:rPr>
                <w:rFonts w:eastAsia="Times New Roman" w:cstheme="minorHAnsi"/>
                <w:b/>
                <w:bCs/>
                <w:sz w:val="24"/>
                <w:szCs w:val="24"/>
              </w:rPr>
            </w:pPr>
            <w:bookmarkStart w:id="2" w:name="RANGE!A3"/>
            <w:r w:rsidRPr="008263ED">
              <w:rPr>
                <w:rFonts w:eastAsia="Times New Roman" w:cstheme="minorHAnsi"/>
                <w:b/>
                <w:bCs/>
                <w:sz w:val="24"/>
                <w:szCs w:val="24"/>
              </w:rPr>
              <w:t>2.4.1 Revenue streams from the operations of the Multi-Level Car Parking , Page 11</w:t>
            </w:r>
            <w:bookmarkEnd w:id="2"/>
          </w:p>
        </w:tc>
        <w:tc>
          <w:tcPr>
            <w:tcW w:w="4713" w:type="dxa"/>
            <w:shd w:val="clear" w:color="auto" w:fill="auto"/>
            <w:noWrap/>
            <w:hideMark/>
          </w:tcPr>
          <w:p w:rsidR="008263ED" w:rsidRPr="00714D47" w:rsidRDefault="008263ED" w:rsidP="002430B8">
            <w:pPr>
              <w:spacing w:after="0" w:line="240" w:lineRule="auto"/>
              <w:jc w:val="both"/>
              <w:rPr>
                <w:rFonts w:eastAsia="Times New Roman" w:cstheme="minorHAnsi"/>
                <w:sz w:val="23"/>
                <w:szCs w:val="23"/>
              </w:rPr>
            </w:pPr>
            <w:r w:rsidRPr="00714D47">
              <w:rPr>
                <w:rFonts w:eastAsia="Times New Roman" w:cstheme="minorHAnsi"/>
                <w:sz w:val="23"/>
                <w:szCs w:val="23"/>
              </w:rPr>
              <w:t>License for parking areas:- The Concessionaire shall, subject to provisions of Jabalpur smart city limited (as amended from time to time), be given the right to collect the parking fee from various categories of vehicles, parked in the public parking area for and on behalf of the Authority.</w:t>
            </w:r>
          </w:p>
        </w:tc>
        <w:tc>
          <w:tcPr>
            <w:tcW w:w="5351" w:type="dxa"/>
            <w:shd w:val="clear" w:color="auto" w:fill="auto"/>
            <w:noWrap/>
            <w:hideMark/>
          </w:tcPr>
          <w:p w:rsidR="008263ED" w:rsidRPr="00714D47" w:rsidRDefault="008263ED" w:rsidP="002430B8">
            <w:pPr>
              <w:spacing w:after="0" w:line="240" w:lineRule="auto"/>
              <w:jc w:val="both"/>
              <w:rPr>
                <w:rFonts w:eastAsia="Times New Roman" w:cstheme="minorHAnsi"/>
                <w:sz w:val="23"/>
                <w:szCs w:val="23"/>
              </w:rPr>
            </w:pPr>
            <w:r w:rsidRPr="00714D47">
              <w:rPr>
                <w:rFonts w:eastAsia="Times New Roman" w:cstheme="minorHAnsi"/>
                <w:sz w:val="23"/>
                <w:szCs w:val="23"/>
              </w:rPr>
              <w:t xml:space="preserve">License for parking areas:- The Concessionaire shall, subject to provisions of Jabalpur smart city limited (as amended from time to time), be given the right to collect the parking fee from various categories of vehicles, parked in the public parking area for and on behalf of the Authority. The Concessionaire would have the flexibility to charge any amount of Car Parking Fee for a band </w:t>
            </w:r>
            <w:r w:rsidR="005520C6" w:rsidRPr="00714D47">
              <w:rPr>
                <w:rFonts w:eastAsia="Times New Roman" w:cstheme="minorHAnsi"/>
                <w:sz w:val="23"/>
                <w:szCs w:val="23"/>
              </w:rPr>
              <w:t>of 2</w:t>
            </w:r>
            <w:r w:rsidRPr="00714D47">
              <w:rPr>
                <w:rFonts w:eastAsia="Times New Roman" w:cstheme="minorHAnsi"/>
                <w:sz w:val="23"/>
                <w:szCs w:val="23"/>
              </w:rPr>
              <w:t xml:space="preserve"> hour period subject to a maximum of Rs.20 per car slot. The fee can be increased </w:t>
            </w:r>
            <w:r w:rsidR="005520C6" w:rsidRPr="00714D47">
              <w:rPr>
                <w:rFonts w:eastAsia="Times New Roman" w:cstheme="minorHAnsi"/>
                <w:sz w:val="23"/>
                <w:szCs w:val="23"/>
              </w:rPr>
              <w:t>up to</w:t>
            </w:r>
            <w:r w:rsidRPr="00714D47">
              <w:rPr>
                <w:rFonts w:eastAsia="Times New Roman" w:cstheme="minorHAnsi"/>
                <w:sz w:val="23"/>
                <w:szCs w:val="23"/>
              </w:rPr>
              <w:t xml:space="preserve"> a maximum of 5% per annum applicable on the rates, fixed in the first year.</w:t>
            </w:r>
          </w:p>
        </w:tc>
      </w:tr>
      <w:tr w:rsidR="00714D47" w:rsidRPr="008263ED" w:rsidTr="00714D47">
        <w:trPr>
          <w:trHeight w:val="315"/>
        </w:trPr>
        <w:tc>
          <w:tcPr>
            <w:tcW w:w="1135" w:type="dxa"/>
            <w:shd w:val="clear" w:color="auto" w:fill="auto"/>
          </w:tcPr>
          <w:p w:rsidR="00714D47" w:rsidRPr="008263ED" w:rsidRDefault="00714D47" w:rsidP="008263ED">
            <w:pPr>
              <w:spacing w:after="0" w:line="240" w:lineRule="auto"/>
              <w:rPr>
                <w:rFonts w:eastAsia="Times New Roman" w:cstheme="minorHAnsi"/>
                <w:b/>
                <w:bCs/>
                <w:sz w:val="24"/>
                <w:szCs w:val="24"/>
              </w:rPr>
            </w:pPr>
            <w:bookmarkStart w:id="3" w:name="_Toc465874370"/>
            <w:r w:rsidRPr="00714D47">
              <w:rPr>
                <w:rFonts w:eastAsia="Times New Roman" w:cstheme="minorHAnsi"/>
                <w:b/>
                <w:bCs/>
                <w:sz w:val="24"/>
                <w:szCs w:val="24"/>
              </w:rPr>
              <w:t>3.3.1 Proposal Security</w:t>
            </w:r>
            <w:bookmarkEnd w:id="3"/>
            <w:r w:rsidRPr="00714D47">
              <w:rPr>
                <w:rFonts w:eastAsia="Times New Roman" w:cstheme="minorHAnsi"/>
                <w:b/>
                <w:bCs/>
                <w:sz w:val="24"/>
                <w:szCs w:val="24"/>
              </w:rPr>
              <w:t>, Section-ii, Page-16</w:t>
            </w:r>
          </w:p>
        </w:tc>
        <w:tc>
          <w:tcPr>
            <w:tcW w:w="4713" w:type="dxa"/>
            <w:shd w:val="clear" w:color="auto" w:fill="auto"/>
            <w:noWrap/>
          </w:tcPr>
          <w:p w:rsidR="00714D47" w:rsidRPr="00714D47" w:rsidRDefault="00714D47" w:rsidP="00714D47">
            <w:pPr>
              <w:spacing w:after="0" w:line="240" w:lineRule="auto"/>
              <w:jc w:val="both"/>
              <w:rPr>
                <w:rFonts w:eastAsia="Times New Roman" w:cstheme="minorHAnsi"/>
                <w:sz w:val="23"/>
                <w:szCs w:val="23"/>
              </w:rPr>
            </w:pPr>
            <w:r w:rsidRPr="00714D47">
              <w:rPr>
                <w:rFonts w:eastAsia="Times New Roman" w:cstheme="minorHAnsi"/>
                <w:sz w:val="23"/>
                <w:szCs w:val="23"/>
              </w:rPr>
              <w:t xml:space="preserve">(ii) The Bank Guarantee shall be valid for a minimum period of one hundred and eight (180) days from the Proposal due date. On request from the Authority, the Bidders would be required to extend the validity of the Proposal Security on the same terms and conditions. </w:t>
            </w:r>
          </w:p>
        </w:tc>
        <w:tc>
          <w:tcPr>
            <w:tcW w:w="5351" w:type="dxa"/>
            <w:shd w:val="clear" w:color="auto" w:fill="auto"/>
            <w:noWrap/>
          </w:tcPr>
          <w:p w:rsidR="00714D47" w:rsidRPr="00714D47" w:rsidRDefault="00714D47" w:rsidP="00714D47">
            <w:pPr>
              <w:spacing w:after="0" w:line="240" w:lineRule="auto"/>
              <w:jc w:val="both"/>
              <w:rPr>
                <w:rFonts w:eastAsia="Times New Roman" w:cstheme="minorHAnsi"/>
                <w:sz w:val="23"/>
                <w:szCs w:val="23"/>
              </w:rPr>
            </w:pPr>
            <w:r w:rsidRPr="00714D47">
              <w:rPr>
                <w:rFonts w:eastAsia="Times New Roman" w:cstheme="minorHAnsi"/>
                <w:sz w:val="23"/>
                <w:szCs w:val="23"/>
              </w:rPr>
              <w:t>(ii) The Bank Guarantee shall be valid for a minimum period of one hundred and eighty (180) days from the Proposal due date. On request from the Authority, the Bidders would be required to extend the validity of the Proposal Security on the same terms and conditions.</w:t>
            </w:r>
          </w:p>
        </w:tc>
      </w:tr>
      <w:tr w:rsidR="008263ED" w:rsidRPr="008263ED" w:rsidTr="00714D47">
        <w:trPr>
          <w:trHeight w:val="315"/>
        </w:trPr>
        <w:tc>
          <w:tcPr>
            <w:tcW w:w="1135" w:type="dxa"/>
            <w:shd w:val="clear" w:color="auto" w:fill="auto"/>
            <w:hideMark/>
          </w:tcPr>
          <w:p w:rsidR="008263ED" w:rsidRPr="008263ED" w:rsidRDefault="008263ED" w:rsidP="008263ED">
            <w:pPr>
              <w:spacing w:after="0" w:line="240" w:lineRule="auto"/>
              <w:rPr>
                <w:rFonts w:eastAsia="Times New Roman" w:cstheme="minorHAnsi"/>
                <w:b/>
                <w:bCs/>
                <w:sz w:val="24"/>
                <w:szCs w:val="24"/>
              </w:rPr>
            </w:pPr>
            <w:bookmarkStart w:id="4" w:name="RANGE!A4"/>
            <w:r w:rsidRPr="008263ED">
              <w:rPr>
                <w:rFonts w:eastAsia="Times New Roman" w:cstheme="minorHAnsi"/>
                <w:b/>
                <w:bCs/>
                <w:sz w:val="24"/>
                <w:szCs w:val="24"/>
              </w:rPr>
              <w:t>3.3.3, Page 17</w:t>
            </w:r>
            <w:bookmarkEnd w:id="4"/>
          </w:p>
        </w:tc>
        <w:tc>
          <w:tcPr>
            <w:tcW w:w="4713" w:type="dxa"/>
            <w:tcBorders>
              <w:bottom w:val="single" w:sz="4" w:space="0" w:color="auto"/>
            </w:tcBorders>
            <w:shd w:val="clear" w:color="auto" w:fill="auto"/>
            <w:noWrap/>
            <w:hideMark/>
          </w:tcPr>
          <w:p w:rsidR="008263ED" w:rsidRPr="00714D47" w:rsidRDefault="008263ED" w:rsidP="002430B8">
            <w:pPr>
              <w:spacing w:after="0" w:line="240" w:lineRule="auto"/>
              <w:jc w:val="both"/>
              <w:rPr>
                <w:rFonts w:eastAsia="Times New Roman" w:cstheme="minorHAnsi"/>
                <w:sz w:val="23"/>
                <w:szCs w:val="23"/>
              </w:rPr>
            </w:pPr>
            <w:r w:rsidRPr="00714D47">
              <w:rPr>
                <w:rFonts w:eastAsia="Times New Roman" w:cstheme="minorHAnsi"/>
                <w:sz w:val="23"/>
                <w:szCs w:val="23"/>
              </w:rPr>
              <w:t>Professional Fees</w:t>
            </w:r>
            <w:r w:rsidR="00DD4CC3" w:rsidRPr="00714D47">
              <w:rPr>
                <w:rFonts w:eastAsia="Times New Roman" w:cstheme="minorHAnsi"/>
                <w:sz w:val="23"/>
                <w:szCs w:val="23"/>
              </w:rPr>
              <w:t xml:space="preserve"> </w:t>
            </w:r>
            <w:r w:rsidRPr="00714D47">
              <w:rPr>
                <w:rFonts w:eastAsia="Times New Roman" w:cstheme="minorHAnsi"/>
                <w:sz w:val="23"/>
                <w:szCs w:val="23"/>
              </w:rPr>
              <w:t>(TO BE DISCUSSED WITH CLIENT)</w:t>
            </w:r>
          </w:p>
        </w:tc>
        <w:tc>
          <w:tcPr>
            <w:tcW w:w="5351" w:type="dxa"/>
            <w:tcBorders>
              <w:bottom w:val="single" w:sz="4" w:space="0" w:color="auto"/>
            </w:tcBorders>
            <w:shd w:val="clear" w:color="auto" w:fill="auto"/>
            <w:noWrap/>
            <w:hideMark/>
          </w:tcPr>
          <w:p w:rsidR="008263ED" w:rsidRPr="00714D47" w:rsidRDefault="008263ED" w:rsidP="002430B8">
            <w:pPr>
              <w:spacing w:after="0" w:line="240" w:lineRule="auto"/>
              <w:jc w:val="center"/>
              <w:rPr>
                <w:rFonts w:eastAsia="Times New Roman" w:cstheme="minorHAnsi"/>
                <w:sz w:val="23"/>
                <w:szCs w:val="23"/>
              </w:rPr>
            </w:pPr>
            <w:r w:rsidRPr="00714D47">
              <w:rPr>
                <w:rFonts w:eastAsia="Times New Roman" w:cstheme="minorHAnsi"/>
                <w:sz w:val="23"/>
                <w:szCs w:val="23"/>
              </w:rPr>
              <w:t>Professional Fees</w:t>
            </w:r>
          </w:p>
        </w:tc>
      </w:tr>
      <w:tr w:rsidR="008263ED" w:rsidRPr="008263ED" w:rsidTr="00714D47">
        <w:trPr>
          <w:trHeight w:val="274"/>
        </w:trPr>
        <w:tc>
          <w:tcPr>
            <w:tcW w:w="1135" w:type="dxa"/>
            <w:vMerge w:val="restart"/>
            <w:tcBorders>
              <w:right w:val="single" w:sz="4" w:space="0" w:color="auto"/>
            </w:tcBorders>
            <w:shd w:val="clear" w:color="auto" w:fill="auto"/>
            <w:vAlign w:val="center"/>
            <w:hideMark/>
          </w:tcPr>
          <w:p w:rsidR="008263ED" w:rsidRPr="008263ED" w:rsidRDefault="008263ED" w:rsidP="008263ED">
            <w:pPr>
              <w:spacing w:after="0" w:line="240" w:lineRule="auto"/>
              <w:rPr>
                <w:rFonts w:eastAsia="Times New Roman" w:cstheme="minorHAnsi"/>
                <w:b/>
                <w:bCs/>
                <w:sz w:val="24"/>
                <w:szCs w:val="24"/>
              </w:rPr>
            </w:pPr>
            <w:r w:rsidRPr="008263ED">
              <w:rPr>
                <w:rFonts w:eastAsia="Times New Roman" w:cstheme="minorHAnsi"/>
                <w:b/>
                <w:bCs/>
                <w:sz w:val="24"/>
                <w:szCs w:val="24"/>
              </w:rPr>
              <w:t>4.1.4, Page 20 &amp;</w:t>
            </w:r>
            <w:r w:rsidR="00DD4CC3">
              <w:rPr>
                <w:rFonts w:eastAsia="Times New Roman" w:cstheme="minorHAnsi"/>
                <w:b/>
                <w:bCs/>
                <w:sz w:val="24"/>
                <w:szCs w:val="24"/>
              </w:rPr>
              <w:t xml:space="preserve"> </w:t>
            </w:r>
            <w:r w:rsidRPr="008263ED">
              <w:rPr>
                <w:rFonts w:eastAsia="Times New Roman" w:cstheme="minorHAnsi"/>
                <w:b/>
                <w:bCs/>
                <w:sz w:val="24"/>
                <w:szCs w:val="24"/>
              </w:rPr>
              <w:t>21</w:t>
            </w:r>
          </w:p>
        </w:tc>
        <w:tc>
          <w:tcPr>
            <w:tcW w:w="4713" w:type="dxa"/>
            <w:tcBorders>
              <w:top w:val="single" w:sz="4" w:space="0" w:color="auto"/>
              <w:left w:val="single" w:sz="4" w:space="0" w:color="auto"/>
              <w:bottom w:val="single" w:sz="4" w:space="0" w:color="auto"/>
              <w:right w:val="single" w:sz="4" w:space="0" w:color="auto"/>
            </w:tcBorders>
            <w:shd w:val="clear" w:color="auto" w:fill="auto"/>
            <w:noWrap/>
            <w:hideMark/>
          </w:tcPr>
          <w:p w:rsidR="008263ED" w:rsidRPr="00714D47" w:rsidRDefault="008263ED" w:rsidP="002430B8">
            <w:pPr>
              <w:spacing w:after="0" w:line="240" w:lineRule="auto"/>
              <w:jc w:val="both"/>
              <w:rPr>
                <w:rFonts w:eastAsia="Times New Roman" w:cstheme="minorHAnsi"/>
                <w:sz w:val="23"/>
                <w:szCs w:val="23"/>
              </w:rPr>
            </w:pPr>
            <w:r w:rsidRPr="00714D47">
              <w:rPr>
                <w:rFonts w:eastAsia="Times New Roman" w:cstheme="minorHAnsi"/>
                <w:sz w:val="23"/>
                <w:szCs w:val="23"/>
              </w:rPr>
              <w:t>Bidders may send their queries to the Authority by the date as stipulated in the Proposal Data Sheet in writing. All the Bidders will be sent the clarifications to queries received till the stipulated date. The queries received after the prescribed date will not be entertained by the Authority.</w:t>
            </w:r>
          </w:p>
        </w:tc>
        <w:tc>
          <w:tcPr>
            <w:tcW w:w="535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3ED" w:rsidRPr="00714D47" w:rsidRDefault="008263ED" w:rsidP="002430B8">
            <w:pPr>
              <w:spacing w:after="0" w:line="240" w:lineRule="auto"/>
              <w:jc w:val="center"/>
              <w:rPr>
                <w:rFonts w:eastAsia="Times New Roman" w:cstheme="minorHAnsi"/>
                <w:sz w:val="23"/>
                <w:szCs w:val="23"/>
              </w:rPr>
            </w:pPr>
            <w:r w:rsidRPr="00714D47">
              <w:rPr>
                <w:rFonts w:eastAsia="Times New Roman" w:cstheme="minorHAnsi"/>
                <w:sz w:val="23"/>
                <w:szCs w:val="23"/>
              </w:rPr>
              <w:t>This Clause is to be deleted.</w:t>
            </w:r>
          </w:p>
        </w:tc>
      </w:tr>
      <w:tr w:rsidR="008263ED" w:rsidRPr="008263ED" w:rsidTr="00714D47">
        <w:trPr>
          <w:trHeight w:val="915"/>
        </w:trPr>
        <w:tc>
          <w:tcPr>
            <w:tcW w:w="1135" w:type="dxa"/>
            <w:vMerge/>
            <w:tcBorders>
              <w:right w:val="single" w:sz="4" w:space="0" w:color="auto"/>
            </w:tcBorders>
            <w:vAlign w:val="center"/>
            <w:hideMark/>
          </w:tcPr>
          <w:p w:rsidR="008263ED" w:rsidRPr="008263ED" w:rsidRDefault="008263ED" w:rsidP="008263ED">
            <w:pPr>
              <w:spacing w:after="0" w:line="240" w:lineRule="auto"/>
              <w:rPr>
                <w:rFonts w:eastAsia="Times New Roman" w:cstheme="minorHAnsi"/>
                <w:b/>
                <w:bCs/>
                <w:sz w:val="24"/>
                <w:szCs w:val="24"/>
              </w:rPr>
            </w:pPr>
          </w:p>
        </w:tc>
        <w:tc>
          <w:tcPr>
            <w:tcW w:w="4713" w:type="dxa"/>
            <w:tcBorders>
              <w:top w:val="single" w:sz="4" w:space="0" w:color="auto"/>
              <w:left w:val="single" w:sz="4" w:space="0" w:color="auto"/>
              <w:bottom w:val="single" w:sz="4" w:space="0" w:color="auto"/>
              <w:right w:val="single" w:sz="4" w:space="0" w:color="auto"/>
            </w:tcBorders>
            <w:shd w:val="clear" w:color="auto" w:fill="auto"/>
            <w:noWrap/>
            <w:hideMark/>
          </w:tcPr>
          <w:p w:rsidR="008263ED" w:rsidRPr="00714D47" w:rsidRDefault="008263ED" w:rsidP="00714D47">
            <w:pPr>
              <w:pStyle w:val="ListParagraph"/>
              <w:numPr>
                <w:ilvl w:val="0"/>
                <w:numId w:val="2"/>
              </w:numPr>
              <w:tabs>
                <w:tab w:val="left" w:pos="175"/>
              </w:tabs>
              <w:spacing w:after="0" w:line="240" w:lineRule="auto"/>
              <w:ind w:left="-108" w:firstLine="142"/>
              <w:jc w:val="both"/>
              <w:rPr>
                <w:rFonts w:eastAsia="Times New Roman" w:cstheme="minorHAnsi"/>
                <w:sz w:val="23"/>
                <w:szCs w:val="23"/>
              </w:rPr>
            </w:pPr>
            <w:r w:rsidRPr="00714D47">
              <w:rPr>
                <w:rFonts w:eastAsia="Times New Roman" w:cstheme="minorHAnsi"/>
                <w:sz w:val="23"/>
                <w:szCs w:val="23"/>
              </w:rPr>
              <w:t>The purpose of the Pre-Bid Conference will be to clarify and discuss issues with respect to the Project, the RFP or any other related issues.</w:t>
            </w:r>
          </w:p>
        </w:tc>
        <w:tc>
          <w:tcPr>
            <w:tcW w:w="5351" w:type="dxa"/>
            <w:vMerge/>
            <w:tcBorders>
              <w:top w:val="single" w:sz="4" w:space="0" w:color="auto"/>
              <w:left w:val="single" w:sz="4" w:space="0" w:color="auto"/>
              <w:bottom w:val="single" w:sz="4" w:space="0" w:color="auto"/>
              <w:right w:val="single" w:sz="4" w:space="0" w:color="auto"/>
            </w:tcBorders>
            <w:hideMark/>
          </w:tcPr>
          <w:p w:rsidR="008263ED" w:rsidRPr="00714D47" w:rsidRDefault="008263ED" w:rsidP="002430B8">
            <w:pPr>
              <w:spacing w:after="0" w:line="240" w:lineRule="auto"/>
              <w:jc w:val="both"/>
              <w:rPr>
                <w:rFonts w:eastAsia="Times New Roman" w:cstheme="minorHAnsi"/>
                <w:sz w:val="23"/>
                <w:szCs w:val="23"/>
              </w:rPr>
            </w:pPr>
          </w:p>
        </w:tc>
      </w:tr>
      <w:tr w:rsidR="008263ED" w:rsidRPr="008263ED" w:rsidTr="00714D47">
        <w:trPr>
          <w:trHeight w:val="915"/>
        </w:trPr>
        <w:tc>
          <w:tcPr>
            <w:tcW w:w="1135" w:type="dxa"/>
            <w:vMerge/>
            <w:tcBorders>
              <w:right w:val="single" w:sz="4" w:space="0" w:color="auto"/>
            </w:tcBorders>
            <w:vAlign w:val="center"/>
            <w:hideMark/>
          </w:tcPr>
          <w:p w:rsidR="008263ED" w:rsidRPr="008263ED" w:rsidRDefault="008263ED" w:rsidP="008263ED">
            <w:pPr>
              <w:spacing w:after="0" w:line="240" w:lineRule="auto"/>
              <w:rPr>
                <w:rFonts w:eastAsia="Times New Roman" w:cstheme="minorHAnsi"/>
                <w:b/>
                <w:bCs/>
                <w:sz w:val="24"/>
                <w:szCs w:val="24"/>
              </w:rPr>
            </w:pPr>
          </w:p>
        </w:tc>
        <w:tc>
          <w:tcPr>
            <w:tcW w:w="4713" w:type="dxa"/>
            <w:tcBorders>
              <w:top w:val="single" w:sz="4" w:space="0" w:color="auto"/>
              <w:left w:val="single" w:sz="4" w:space="0" w:color="auto"/>
              <w:bottom w:val="single" w:sz="4" w:space="0" w:color="auto"/>
              <w:right w:val="single" w:sz="4" w:space="0" w:color="auto"/>
            </w:tcBorders>
            <w:shd w:val="clear" w:color="auto" w:fill="auto"/>
            <w:noWrap/>
            <w:hideMark/>
          </w:tcPr>
          <w:p w:rsidR="008263ED" w:rsidRPr="00714D47" w:rsidRDefault="008263ED" w:rsidP="00714D47">
            <w:pPr>
              <w:pStyle w:val="ListParagraph"/>
              <w:numPr>
                <w:ilvl w:val="0"/>
                <w:numId w:val="1"/>
              </w:numPr>
              <w:tabs>
                <w:tab w:val="left" w:pos="175"/>
              </w:tabs>
              <w:spacing w:after="0" w:line="240" w:lineRule="auto"/>
              <w:ind w:left="-108" w:firstLine="142"/>
              <w:jc w:val="both"/>
              <w:rPr>
                <w:rFonts w:eastAsia="Times New Roman" w:cstheme="minorHAnsi"/>
                <w:sz w:val="23"/>
                <w:szCs w:val="23"/>
              </w:rPr>
            </w:pPr>
            <w:r w:rsidRPr="00714D47">
              <w:rPr>
                <w:rFonts w:eastAsia="Times New Roman" w:cstheme="minorHAnsi"/>
                <w:sz w:val="23"/>
                <w:szCs w:val="23"/>
              </w:rPr>
              <w:t>The Bidder or his authorized representative is invited to attend a Pre-Bid Conference, which shall take place at the date and venue as prescribed in the Proposal Data Sheet</w:t>
            </w:r>
          </w:p>
        </w:tc>
        <w:tc>
          <w:tcPr>
            <w:tcW w:w="5351" w:type="dxa"/>
            <w:vMerge/>
            <w:tcBorders>
              <w:top w:val="single" w:sz="4" w:space="0" w:color="auto"/>
              <w:left w:val="single" w:sz="4" w:space="0" w:color="auto"/>
              <w:bottom w:val="single" w:sz="4" w:space="0" w:color="auto"/>
              <w:right w:val="single" w:sz="4" w:space="0" w:color="auto"/>
            </w:tcBorders>
            <w:hideMark/>
          </w:tcPr>
          <w:p w:rsidR="008263ED" w:rsidRPr="00714D47" w:rsidRDefault="008263ED" w:rsidP="002430B8">
            <w:pPr>
              <w:spacing w:after="0" w:line="240" w:lineRule="auto"/>
              <w:jc w:val="both"/>
              <w:rPr>
                <w:rFonts w:eastAsia="Times New Roman" w:cstheme="minorHAnsi"/>
                <w:sz w:val="23"/>
                <w:szCs w:val="23"/>
              </w:rPr>
            </w:pPr>
          </w:p>
        </w:tc>
      </w:tr>
      <w:tr w:rsidR="008263ED" w:rsidRPr="008263ED" w:rsidTr="00714D47">
        <w:trPr>
          <w:trHeight w:val="915"/>
        </w:trPr>
        <w:tc>
          <w:tcPr>
            <w:tcW w:w="1135" w:type="dxa"/>
            <w:vMerge/>
            <w:tcBorders>
              <w:right w:val="single" w:sz="4" w:space="0" w:color="auto"/>
            </w:tcBorders>
            <w:vAlign w:val="center"/>
            <w:hideMark/>
          </w:tcPr>
          <w:p w:rsidR="008263ED" w:rsidRPr="008263ED" w:rsidRDefault="008263ED" w:rsidP="008263ED">
            <w:pPr>
              <w:spacing w:after="0" w:line="240" w:lineRule="auto"/>
              <w:rPr>
                <w:rFonts w:eastAsia="Times New Roman" w:cstheme="minorHAnsi"/>
                <w:b/>
                <w:bCs/>
                <w:sz w:val="24"/>
                <w:szCs w:val="24"/>
              </w:rPr>
            </w:pPr>
          </w:p>
        </w:tc>
        <w:tc>
          <w:tcPr>
            <w:tcW w:w="4713" w:type="dxa"/>
            <w:tcBorders>
              <w:top w:val="single" w:sz="4" w:space="0" w:color="auto"/>
              <w:left w:val="single" w:sz="4" w:space="0" w:color="auto"/>
              <w:bottom w:val="single" w:sz="4" w:space="0" w:color="auto"/>
              <w:right w:val="single" w:sz="4" w:space="0" w:color="auto"/>
            </w:tcBorders>
            <w:shd w:val="clear" w:color="auto" w:fill="auto"/>
            <w:noWrap/>
            <w:hideMark/>
          </w:tcPr>
          <w:p w:rsidR="008263ED" w:rsidRPr="00714D47" w:rsidRDefault="008263ED" w:rsidP="00714D47">
            <w:pPr>
              <w:pStyle w:val="ListParagraph"/>
              <w:numPr>
                <w:ilvl w:val="0"/>
                <w:numId w:val="1"/>
              </w:numPr>
              <w:tabs>
                <w:tab w:val="left" w:pos="175"/>
              </w:tabs>
              <w:spacing w:after="0" w:line="240" w:lineRule="auto"/>
              <w:ind w:left="-108" w:firstLine="142"/>
              <w:jc w:val="both"/>
              <w:rPr>
                <w:rFonts w:eastAsia="Times New Roman" w:cstheme="minorHAnsi"/>
                <w:sz w:val="23"/>
                <w:szCs w:val="23"/>
              </w:rPr>
            </w:pPr>
            <w:r w:rsidRPr="00714D47">
              <w:rPr>
                <w:rFonts w:eastAsia="Times New Roman" w:cstheme="minorHAnsi"/>
                <w:sz w:val="23"/>
                <w:szCs w:val="23"/>
              </w:rPr>
              <w:t xml:space="preserve"> It is advisable to attend the Pre-Bid Conference. Subsequent to the date of the Pre-Bid Conference, the Authority shall not respond to questions or inquiries from any Bidder.</w:t>
            </w:r>
          </w:p>
        </w:tc>
        <w:tc>
          <w:tcPr>
            <w:tcW w:w="5351" w:type="dxa"/>
            <w:vMerge/>
            <w:tcBorders>
              <w:top w:val="single" w:sz="4" w:space="0" w:color="auto"/>
              <w:left w:val="single" w:sz="4" w:space="0" w:color="auto"/>
              <w:bottom w:val="single" w:sz="4" w:space="0" w:color="auto"/>
              <w:right w:val="single" w:sz="4" w:space="0" w:color="auto"/>
            </w:tcBorders>
            <w:hideMark/>
          </w:tcPr>
          <w:p w:rsidR="008263ED" w:rsidRPr="00714D47" w:rsidRDefault="008263ED" w:rsidP="002430B8">
            <w:pPr>
              <w:spacing w:after="0" w:line="240" w:lineRule="auto"/>
              <w:jc w:val="both"/>
              <w:rPr>
                <w:rFonts w:eastAsia="Times New Roman" w:cstheme="minorHAnsi"/>
                <w:sz w:val="23"/>
                <w:szCs w:val="23"/>
              </w:rPr>
            </w:pPr>
          </w:p>
        </w:tc>
      </w:tr>
      <w:tr w:rsidR="008263ED" w:rsidRPr="008263ED" w:rsidTr="00714D47">
        <w:trPr>
          <w:trHeight w:val="2400"/>
        </w:trPr>
        <w:tc>
          <w:tcPr>
            <w:tcW w:w="1135" w:type="dxa"/>
            <w:shd w:val="clear" w:color="auto" w:fill="auto"/>
            <w:noWrap/>
            <w:vAlign w:val="center"/>
            <w:hideMark/>
          </w:tcPr>
          <w:p w:rsidR="008263ED" w:rsidRPr="008263ED" w:rsidRDefault="008263ED" w:rsidP="008263ED">
            <w:pPr>
              <w:spacing w:after="0" w:line="240" w:lineRule="auto"/>
              <w:jc w:val="both"/>
              <w:rPr>
                <w:rFonts w:eastAsia="Times New Roman" w:cstheme="minorHAnsi"/>
                <w:b/>
                <w:bCs/>
                <w:sz w:val="24"/>
                <w:szCs w:val="24"/>
              </w:rPr>
            </w:pPr>
            <w:r w:rsidRPr="008263ED">
              <w:rPr>
                <w:rFonts w:eastAsia="Times New Roman" w:cstheme="minorHAnsi"/>
                <w:b/>
                <w:bCs/>
                <w:sz w:val="24"/>
                <w:szCs w:val="24"/>
              </w:rPr>
              <w:t>4.9.2, Page 25</w:t>
            </w:r>
          </w:p>
        </w:tc>
        <w:tc>
          <w:tcPr>
            <w:tcW w:w="4713" w:type="dxa"/>
            <w:tcBorders>
              <w:top w:val="single" w:sz="4" w:space="0" w:color="auto"/>
            </w:tcBorders>
            <w:shd w:val="clear" w:color="auto" w:fill="auto"/>
            <w:noWrap/>
            <w:hideMark/>
          </w:tcPr>
          <w:p w:rsidR="008263ED" w:rsidRPr="00714D47" w:rsidRDefault="008263ED" w:rsidP="002430B8">
            <w:pPr>
              <w:spacing w:after="0" w:line="240" w:lineRule="auto"/>
              <w:jc w:val="both"/>
              <w:rPr>
                <w:rFonts w:eastAsia="Times New Roman" w:cstheme="minorHAnsi"/>
                <w:sz w:val="23"/>
                <w:szCs w:val="23"/>
              </w:rPr>
            </w:pPr>
            <w:r w:rsidRPr="00714D47">
              <w:rPr>
                <w:rFonts w:eastAsia="Times New Roman" w:cstheme="minorHAnsi"/>
                <w:sz w:val="23"/>
                <w:szCs w:val="23"/>
              </w:rPr>
              <w:t xml:space="preserve">In Stage – II of evaluation, the Financial Bids in Envelope 3 of only those Bidders who have passed Stage I shall be opened by the Authority in presence of the nominees of the Bidders, who choose to attend the same. The Bidder quoting the minimum Concession Period in years (“H1”) shall be the Successful Bidder for the Project. Bidders shall be ranked H1, H2, </w:t>
            </w:r>
            <w:proofErr w:type="gramStart"/>
            <w:r w:rsidRPr="00714D47">
              <w:rPr>
                <w:rFonts w:eastAsia="Times New Roman" w:cstheme="minorHAnsi"/>
                <w:sz w:val="23"/>
                <w:szCs w:val="23"/>
              </w:rPr>
              <w:t>H3</w:t>
            </w:r>
            <w:proofErr w:type="gramEnd"/>
            <w:r w:rsidRPr="00714D47">
              <w:rPr>
                <w:rFonts w:eastAsia="Times New Roman" w:cstheme="minorHAnsi"/>
                <w:sz w:val="23"/>
                <w:szCs w:val="23"/>
              </w:rPr>
              <w:t xml:space="preserve"> etc. in increasing order of the Concession Period (in years) quoted by them in their financial offers.</w:t>
            </w:r>
          </w:p>
        </w:tc>
        <w:tc>
          <w:tcPr>
            <w:tcW w:w="5351" w:type="dxa"/>
            <w:tcBorders>
              <w:top w:val="single" w:sz="4" w:space="0" w:color="auto"/>
            </w:tcBorders>
            <w:shd w:val="clear" w:color="auto" w:fill="auto"/>
            <w:noWrap/>
            <w:hideMark/>
          </w:tcPr>
          <w:p w:rsidR="008263ED" w:rsidRPr="00714D47" w:rsidRDefault="008263ED" w:rsidP="00B436A9">
            <w:pPr>
              <w:spacing w:after="0" w:line="240" w:lineRule="auto"/>
              <w:jc w:val="both"/>
              <w:rPr>
                <w:rFonts w:eastAsia="Times New Roman" w:cstheme="minorHAnsi"/>
                <w:sz w:val="23"/>
                <w:szCs w:val="23"/>
              </w:rPr>
            </w:pPr>
            <w:r w:rsidRPr="00714D47">
              <w:rPr>
                <w:rFonts w:eastAsia="Times New Roman" w:cstheme="minorHAnsi"/>
                <w:sz w:val="23"/>
                <w:szCs w:val="23"/>
              </w:rPr>
              <w:t xml:space="preserve">In Stage – II of evaluation, the Financial Bids in Envelope 3 of only those Bidders who have passed Stage I shall be opened by the Authority in presence of the nominees of the Bidders, who choose to attend the same. The Bidder quoting the minimum Concession Period in </w:t>
            </w:r>
            <w:r w:rsidR="00B436A9" w:rsidRPr="00714D47">
              <w:rPr>
                <w:rFonts w:eastAsia="Times New Roman" w:cstheme="minorHAnsi"/>
                <w:sz w:val="23"/>
                <w:szCs w:val="23"/>
              </w:rPr>
              <w:t xml:space="preserve">months </w:t>
            </w:r>
            <w:r w:rsidRPr="00714D47">
              <w:rPr>
                <w:rFonts w:eastAsia="Times New Roman" w:cstheme="minorHAnsi"/>
                <w:sz w:val="23"/>
                <w:szCs w:val="23"/>
              </w:rPr>
              <w:t xml:space="preserve">(“H1”) shall be the Successful Bidder for the Project. Bidders shall be ranked H1, H2, </w:t>
            </w:r>
            <w:proofErr w:type="gramStart"/>
            <w:r w:rsidRPr="00714D47">
              <w:rPr>
                <w:rFonts w:eastAsia="Times New Roman" w:cstheme="minorHAnsi"/>
                <w:sz w:val="23"/>
                <w:szCs w:val="23"/>
              </w:rPr>
              <w:t>H3</w:t>
            </w:r>
            <w:proofErr w:type="gramEnd"/>
            <w:r w:rsidRPr="00714D47">
              <w:rPr>
                <w:rFonts w:eastAsia="Times New Roman" w:cstheme="minorHAnsi"/>
                <w:sz w:val="23"/>
                <w:szCs w:val="23"/>
              </w:rPr>
              <w:t xml:space="preserve"> etc. in increasing order of the Concession Period (in Months) quoted by them in their financial offers.</w:t>
            </w:r>
          </w:p>
        </w:tc>
      </w:tr>
      <w:tr w:rsidR="00013DCC" w:rsidRPr="008263ED" w:rsidTr="00714D47">
        <w:trPr>
          <w:trHeight w:val="659"/>
        </w:trPr>
        <w:tc>
          <w:tcPr>
            <w:tcW w:w="1135" w:type="dxa"/>
            <w:shd w:val="clear" w:color="auto" w:fill="auto"/>
            <w:vAlign w:val="center"/>
          </w:tcPr>
          <w:p w:rsidR="00013DCC" w:rsidRPr="008263ED" w:rsidRDefault="00013DCC" w:rsidP="00832B24">
            <w:pPr>
              <w:spacing w:after="0" w:line="240" w:lineRule="auto"/>
              <w:jc w:val="both"/>
              <w:rPr>
                <w:rFonts w:eastAsia="Times New Roman" w:cstheme="minorHAnsi"/>
                <w:b/>
                <w:bCs/>
                <w:sz w:val="24"/>
                <w:szCs w:val="24"/>
              </w:rPr>
            </w:pPr>
            <w:r w:rsidRPr="003A6567">
              <w:rPr>
                <w:rFonts w:eastAsia="Times New Roman" w:cstheme="minorHAnsi"/>
                <w:b/>
                <w:bCs/>
                <w:sz w:val="24"/>
                <w:szCs w:val="24"/>
              </w:rPr>
              <w:t>4.13.2</w:t>
            </w:r>
            <w:r>
              <w:rPr>
                <w:rFonts w:eastAsia="Times New Roman" w:cstheme="minorHAnsi"/>
                <w:b/>
                <w:bCs/>
                <w:sz w:val="24"/>
                <w:szCs w:val="24"/>
              </w:rPr>
              <w:t xml:space="preserve"> Page-27</w:t>
            </w:r>
          </w:p>
        </w:tc>
        <w:tc>
          <w:tcPr>
            <w:tcW w:w="4713" w:type="dxa"/>
            <w:shd w:val="clear" w:color="auto" w:fill="auto"/>
            <w:noWrap/>
          </w:tcPr>
          <w:p w:rsidR="00013DCC" w:rsidRPr="00714D47" w:rsidRDefault="00013DCC" w:rsidP="00832B24">
            <w:pPr>
              <w:spacing w:after="0" w:line="240" w:lineRule="auto"/>
              <w:jc w:val="both"/>
              <w:rPr>
                <w:rFonts w:eastAsia="Times New Roman" w:cstheme="minorHAnsi"/>
                <w:sz w:val="23"/>
                <w:szCs w:val="23"/>
              </w:rPr>
            </w:pPr>
            <w:r w:rsidRPr="003A6567">
              <w:rPr>
                <w:rFonts w:eastAsia="Times New Roman" w:cstheme="minorHAnsi"/>
                <w:sz w:val="23"/>
                <w:szCs w:val="23"/>
              </w:rPr>
              <w:t>Proposal Security received from all the short listed Bidders after Stage – II of evaluation (except H1, H2 and H3) will be returned within sixty (60) days from the date of opening of financial bid, and returned thereafter, without payment of any interest.</w:t>
            </w:r>
          </w:p>
        </w:tc>
        <w:tc>
          <w:tcPr>
            <w:tcW w:w="5351" w:type="dxa"/>
            <w:shd w:val="clear" w:color="auto" w:fill="auto"/>
            <w:noWrap/>
          </w:tcPr>
          <w:p w:rsidR="00013DCC" w:rsidRPr="00C32D43" w:rsidRDefault="00013DCC" w:rsidP="00832B24">
            <w:pPr>
              <w:spacing w:after="0" w:line="240" w:lineRule="auto"/>
              <w:jc w:val="both"/>
              <w:rPr>
                <w:rFonts w:eastAsia="Times New Roman" w:cstheme="minorHAnsi"/>
                <w:sz w:val="23"/>
                <w:szCs w:val="23"/>
              </w:rPr>
            </w:pPr>
            <w:r w:rsidRPr="00C32D43">
              <w:rPr>
                <w:rFonts w:eastAsia="Times New Roman" w:cstheme="minorHAnsi"/>
                <w:sz w:val="23"/>
                <w:szCs w:val="23"/>
              </w:rPr>
              <w:t>Proposal Security received from all the short listed Bidders after Stage – II of evaluation (except H1, H2 and H3) will be returned within sixty (60) days from the date of opening of financial bid, and returned thereafter, without payment of any interest.</w:t>
            </w:r>
          </w:p>
          <w:p w:rsidR="00013DCC" w:rsidRPr="00714D47" w:rsidRDefault="00013DCC" w:rsidP="00832B24">
            <w:pPr>
              <w:spacing w:after="0" w:line="240" w:lineRule="auto"/>
              <w:jc w:val="both"/>
              <w:rPr>
                <w:rFonts w:eastAsia="Times New Roman" w:cstheme="minorHAnsi"/>
                <w:sz w:val="23"/>
                <w:szCs w:val="23"/>
              </w:rPr>
            </w:pPr>
            <w:r w:rsidRPr="00C32D43">
              <w:rPr>
                <w:rFonts w:eastAsia="Times New Roman" w:cstheme="minorHAnsi"/>
                <w:sz w:val="23"/>
                <w:szCs w:val="23"/>
              </w:rPr>
              <w:t>The Proposal Security of the Successful Bidder (H1) will be returned on receipt of their Performance Security and the Proposal security of H2 and H3 shall be returned within 30 days of receipt of performance security from H1.</w:t>
            </w:r>
          </w:p>
        </w:tc>
      </w:tr>
      <w:tr w:rsidR="00013DCC" w:rsidRPr="008263ED" w:rsidTr="00714D47">
        <w:trPr>
          <w:trHeight w:val="659"/>
        </w:trPr>
        <w:tc>
          <w:tcPr>
            <w:tcW w:w="1135" w:type="dxa"/>
            <w:vMerge w:val="restart"/>
            <w:shd w:val="clear" w:color="auto" w:fill="auto"/>
            <w:vAlign w:val="center"/>
            <w:hideMark/>
          </w:tcPr>
          <w:p w:rsidR="00013DCC" w:rsidRPr="008263ED" w:rsidRDefault="00013DCC" w:rsidP="008263ED">
            <w:pPr>
              <w:spacing w:after="0" w:line="240" w:lineRule="auto"/>
              <w:rPr>
                <w:rFonts w:eastAsia="Times New Roman" w:cstheme="minorHAnsi"/>
                <w:b/>
                <w:bCs/>
                <w:sz w:val="24"/>
                <w:szCs w:val="24"/>
              </w:rPr>
            </w:pPr>
            <w:r w:rsidRPr="008263ED">
              <w:rPr>
                <w:rFonts w:eastAsia="Times New Roman" w:cstheme="minorHAnsi"/>
                <w:b/>
                <w:bCs/>
                <w:sz w:val="24"/>
                <w:szCs w:val="24"/>
              </w:rPr>
              <w:t>P</w:t>
            </w:r>
            <w:r>
              <w:rPr>
                <w:rFonts w:eastAsia="Times New Roman" w:cstheme="minorHAnsi"/>
                <w:b/>
                <w:bCs/>
                <w:sz w:val="24"/>
                <w:szCs w:val="24"/>
              </w:rPr>
              <w:t>roposal Data Sheet, Page 28</w:t>
            </w:r>
          </w:p>
        </w:tc>
        <w:tc>
          <w:tcPr>
            <w:tcW w:w="4713"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4. Name of the Contact Person -</w:t>
            </w:r>
          </w:p>
        </w:tc>
        <w:tc>
          <w:tcPr>
            <w:tcW w:w="5351" w:type="dxa"/>
            <w:shd w:val="clear" w:color="auto" w:fill="auto"/>
            <w:noWrap/>
            <w:hideMark/>
          </w:tcPr>
          <w:p w:rsidR="00013DCC" w:rsidRPr="00714D47" w:rsidRDefault="00013DCC" w:rsidP="00590AF1">
            <w:pPr>
              <w:spacing w:after="0" w:line="240" w:lineRule="auto"/>
              <w:jc w:val="both"/>
              <w:rPr>
                <w:rFonts w:eastAsia="Times New Roman" w:cstheme="minorHAnsi"/>
                <w:sz w:val="23"/>
                <w:szCs w:val="23"/>
              </w:rPr>
            </w:pPr>
            <w:r w:rsidRPr="00714D47">
              <w:rPr>
                <w:rFonts w:eastAsia="Times New Roman" w:cstheme="minorHAnsi"/>
                <w:sz w:val="23"/>
                <w:szCs w:val="23"/>
              </w:rPr>
              <w:t xml:space="preserve">Name of the Contact Person - </w:t>
            </w:r>
            <w:proofErr w:type="spellStart"/>
            <w:r w:rsidRPr="00714D47">
              <w:rPr>
                <w:rFonts w:eastAsia="Times New Roman" w:cstheme="minorHAnsi"/>
                <w:sz w:val="23"/>
                <w:szCs w:val="23"/>
              </w:rPr>
              <w:t>Arpit</w:t>
            </w:r>
            <w:proofErr w:type="spellEnd"/>
            <w:r w:rsidRPr="00714D47">
              <w:rPr>
                <w:rFonts w:eastAsia="Times New Roman" w:cstheme="minorHAnsi"/>
                <w:sz w:val="23"/>
                <w:szCs w:val="23"/>
              </w:rPr>
              <w:t xml:space="preserve"> </w:t>
            </w:r>
            <w:proofErr w:type="spellStart"/>
            <w:r w:rsidRPr="00714D47">
              <w:rPr>
                <w:rFonts w:eastAsia="Times New Roman" w:cstheme="minorHAnsi"/>
                <w:sz w:val="23"/>
                <w:szCs w:val="23"/>
              </w:rPr>
              <w:t>Nema</w:t>
            </w:r>
            <w:proofErr w:type="spellEnd"/>
            <w:r w:rsidRPr="00714D47">
              <w:rPr>
                <w:rFonts w:eastAsia="Times New Roman" w:cstheme="minorHAnsi"/>
                <w:sz w:val="23"/>
                <w:szCs w:val="23"/>
              </w:rPr>
              <w:t xml:space="preserve"> Mob - 9826658651</w:t>
            </w:r>
          </w:p>
        </w:tc>
      </w:tr>
      <w:tr w:rsidR="00013DCC" w:rsidRPr="008263ED" w:rsidTr="00714D47">
        <w:trPr>
          <w:trHeight w:val="315"/>
        </w:trPr>
        <w:tc>
          <w:tcPr>
            <w:tcW w:w="1135" w:type="dxa"/>
            <w:vMerge/>
            <w:vAlign w:val="center"/>
            <w:hideMark/>
          </w:tcPr>
          <w:p w:rsidR="00013DCC" w:rsidRPr="008263ED" w:rsidRDefault="00013DCC" w:rsidP="008263ED">
            <w:pPr>
              <w:spacing w:after="0" w:line="240" w:lineRule="auto"/>
              <w:rPr>
                <w:rFonts w:eastAsia="Times New Roman" w:cstheme="minorHAnsi"/>
                <w:b/>
                <w:bCs/>
                <w:sz w:val="24"/>
                <w:szCs w:val="24"/>
              </w:rPr>
            </w:pPr>
          </w:p>
        </w:tc>
        <w:tc>
          <w:tcPr>
            <w:tcW w:w="4713"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11. Notice of Award</w:t>
            </w:r>
          </w:p>
        </w:tc>
        <w:tc>
          <w:tcPr>
            <w:tcW w:w="5351"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This Point is to be deleted.</w:t>
            </w:r>
          </w:p>
        </w:tc>
      </w:tr>
      <w:tr w:rsidR="00013DCC" w:rsidRPr="008263ED" w:rsidTr="00714D47">
        <w:trPr>
          <w:trHeight w:val="315"/>
        </w:trPr>
        <w:tc>
          <w:tcPr>
            <w:tcW w:w="1135" w:type="dxa"/>
            <w:vMerge/>
            <w:vAlign w:val="center"/>
            <w:hideMark/>
          </w:tcPr>
          <w:p w:rsidR="00013DCC" w:rsidRPr="008263ED" w:rsidRDefault="00013DCC" w:rsidP="008263ED">
            <w:pPr>
              <w:spacing w:after="0" w:line="240" w:lineRule="auto"/>
              <w:rPr>
                <w:rFonts w:eastAsia="Times New Roman" w:cstheme="minorHAnsi"/>
                <w:b/>
                <w:bCs/>
                <w:sz w:val="24"/>
                <w:szCs w:val="24"/>
              </w:rPr>
            </w:pPr>
          </w:p>
        </w:tc>
        <w:tc>
          <w:tcPr>
            <w:tcW w:w="4713"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12. Signing of Concession Agreement</w:t>
            </w:r>
          </w:p>
        </w:tc>
        <w:tc>
          <w:tcPr>
            <w:tcW w:w="5351"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This Point is to be deleted.</w:t>
            </w:r>
          </w:p>
        </w:tc>
      </w:tr>
      <w:tr w:rsidR="00013DCC" w:rsidRPr="008263ED" w:rsidTr="00714D47">
        <w:trPr>
          <w:trHeight w:val="315"/>
        </w:trPr>
        <w:tc>
          <w:tcPr>
            <w:tcW w:w="1135" w:type="dxa"/>
            <w:vMerge/>
            <w:vAlign w:val="center"/>
            <w:hideMark/>
          </w:tcPr>
          <w:p w:rsidR="00013DCC" w:rsidRPr="008263ED" w:rsidRDefault="00013DCC" w:rsidP="008263ED">
            <w:pPr>
              <w:spacing w:after="0" w:line="240" w:lineRule="auto"/>
              <w:rPr>
                <w:rFonts w:eastAsia="Times New Roman" w:cstheme="minorHAnsi"/>
                <w:b/>
                <w:bCs/>
                <w:sz w:val="24"/>
                <w:szCs w:val="24"/>
              </w:rPr>
            </w:pPr>
          </w:p>
        </w:tc>
        <w:tc>
          <w:tcPr>
            <w:tcW w:w="4713" w:type="dxa"/>
            <w:shd w:val="clear" w:color="auto" w:fill="auto"/>
            <w:noWrap/>
          </w:tcPr>
          <w:p w:rsidR="00013DCC" w:rsidRPr="00714D47" w:rsidRDefault="00013DCC" w:rsidP="00DD4CC3">
            <w:pPr>
              <w:spacing w:after="0" w:line="240" w:lineRule="auto"/>
              <w:jc w:val="both"/>
              <w:rPr>
                <w:rFonts w:eastAsia="Times New Roman" w:cstheme="minorHAnsi"/>
                <w:sz w:val="23"/>
                <w:szCs w:val="23"/>
              </w:rPr>
            </w:pPr>
            <w:r w:rsidRPr="00714D47">
              <w:rPr>
                <w:rFonts w:eastAsia="Times New Roman" w:cstheme="minorHAnsi"/>
                <w:sz w:val="23"/>
                <w:szCs w:val="23"/>
              </w:rPr>
              <w:t>15. Mandatory Components</w:t>
            </w:r>
          </w:p>
        </w:tc>
        <w:tc>
          <w:tcPr>
            <w:tcW w:w="5351" w:type="dxa"/>
            <w:shd w:val="clear" w:color="auto" w:fill="auto"/>
            <w:noWrap/>
          </w:tcPr>
          <w:p w:rsidR="00013DCC" w:rsidRPr="00714D47" w:rsidRDefault="00013DCC" w:rsidP="00DD4CC3">
            <w:pPr>
              <w:spacing w:after="0"/>
              <w:rPr>
                <w:rFonts w:eastAsia="Times New Roman" w:cstheme="minorHAnsi"/>
                <w:sz w:val="23"/>
                <w:szCs w:val="23"/>
              </w:rPr>
            </w:pPr>
            <w:r w:rsidRPr="00714D47">
              <w:rPr>
                <w:rFonts w:eastAsia="Times New Roman" w:cstheme="minorHAnsi"/>
                <w:sz w:val="23"/>
                <w:szCs w:val="23"/>
              </w:rPr>
              <w:t>15. Mandatory Components-</w:t>
            </w:r>
          </w:p>
          <w:p w:rsidR="00013DCC" w:rsidRPr="00714D47" w:rsidRDefault="00013DCC" w:rsidP="00C84C04">
            <w:pPr>
              <w:pStyle w:val="ListParagraph"/>
              <w:numPr>
                <w:ilvl w:val="0"/>
                <w:numId w:val="5"/>
              </w:numPr>
              <w:spacing w:after="0"/>
              <w:ind w:left="423" w:hanging="141"/>
              <w:jc w:val="both"/>
              <w:rPr>
                <w:rFonts w:eastAsia="Times New Roman" w:cstheme="minorHAnsi"/>
                <w:sz w:val="23"/>
                <w:szCs w:val="23"/>
              </w:rPr>
            </w:pPr>
            <w:r w:rsidRPr="00714D47">
              <w:rPr>
                <w:rFonts w:eastAsia="Times New Roman" w:cstheme="minorHAnsi"/>
                <w:sz w:val="23"/>
                <w:szCs w:val="23"/>
              </w:rPr>
              <w:t>Real time information system should be incorporated with multi-level parking along with Jabalpur mobile application.</w:t>
            </w:r>
          </w:p>
          <w:p w:rsidR="00013DCC" w:rsidRPr="00714D47" w:rsidRDefault="00013DCC" w:rsidP="00C84C04">
            <w:pPr>
              <w:pStyle w:val="ListParagraph"/>
              <w:numPr>
                <w:ilvl w:val="0"/>
                <w:numId w:val="5"/>
              </w:numPr>
              <w:spacing w:after="0"/>
              <w:ind w:left="423" w:hanging="141"/>
              <w:jc w:val="both"/>
              <w:rPr>
                <w:rFonts w:eastAsia="Times New Roman" w:cstheme="minorHAnsi"/>
                <w:sz w:val="23"/>
                <w:szCs w:val="23"/>
              </w:rPr>
            </w:pPr>
            <w:r w:rsidRPr="00714D47">
              <w:rPr>
                <w:rFonts w:eastAsia="Times New Roman" w:cstheme="minorHAnsi"/>
                <w:sz w:val="23"/>
                <w:szCs w:val="23"/>
              </w:rPr>
              <w:t>Project should have minimum 200 car space.</w:t>
            </w:r>
          </w:p>
          <w:p w:rsidR="00013DCC" w:rsidRPr="00714D47" w:rsidRDefault="00013DCC" w:rsidP="00C84C04">
            <w:pPr>
              <w:pStyle w:val="ListParagraph"/>
              <w:numPr>
                <w:ilvl w:val="0"/>
                <w:numId w:val="5"/>
              </w:numPr>
              <w:spacing w:after="0"/>
              <w:ind w:left="423" w:hanging="141"/>
              <w:jc w:val="both"/>
              <w:rPr>
                <w:rFonts w:eastAsia="Times New Roman" w:cstheme="minorHAnsi"/>
                <w:sz w:val="23"/>
                <w:szCs w:val="23"/>
              </w:rPr>
            </w:pPr>
            <w:r w:rsidRPr="00714D47">
              <w:rPr>
                <w:rFonts w:eastAsia="Times New Roman" w:cstheme="minorHAnsi"/>
                <w:sz w:val="23"/>
                <w:szCs w:val="23"/>
              </w:rPr>
              <w:t>Multi-level car parking shall be mechanized.</w:t>
            </w:r>
          </w:p>
        </w:tc>
      </w:tr>
      <w:tr w:rsidR="00013DCC" w:rsidRPr="008263ED" w:rsidTr="00714D47">
        <w:trPr>
          <w:trHeight w:val="615"/>
        </w:trPr>
        <w:tc>
          <w:tcPr>
            <w:tcW w:w="1135" w:type="dxa"/>
            <w:vMerge/>
            <w:vAlign w:val="center"/>
            <w:hideMark/>
          </w:tcPr>
          <w:p w:rsidR="00013DCC" w:rsidRPr="008263ED" w:rsidRDefault="00013DCC" w:rsidP="008263ED">
            <w:pPr>
              <w:spacing w:after="0" w:line="240" w:lineRule="auto"/>
              <w:rPr>
                <w:rFonts w:eastAsia="Times New Roman" w:cstheme="minorHAnsi"/>
                <w:b/>
                <w:bCs/>
                <w:sz w:val="24"/>
                <w:szCs w:val="24"/>
              </w:rPr>
            </w:pPr>
          </w:p>
        </w:tc>
        <w:tc>
          <w:tcPr>
            <w:tcW w:w="4713"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16. Proposal Due Date</w:t>
            </w:r>
          </w:p>
        </w:tc>
        <w:tc>
          <w:tcPr>
            <w:tcW w:w="5351" w:type="dxa"/>
            <w:shd w:val="clear" w:color="auto" w:fill="auto"/>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Proposal Due Date - Last Date of Online Submission - 23-11-2016 &amp; Last  Date of Physical Submission -24-11-2016</w:t>
            </w:r>
          </w:p>
        </w:tc>
      </w:tr>
      <w:tr w:rsidR="00013DCC" w:rsidRPr="008263ED" w:rsidTr="00714D47">
        <w:trPr>
          <w:trHeight w:val="315"/>
        </w:trPr>
        <w:tc>
          <w:tcPr>
            <w:tcW w:w="1135" w:type="dxa"/>
            <w:vMerge/>
            <w:vAlign w:val="center"/>
            <w:hideMark/>
          </w:tcPr>
          <w:p w:rsidR="00013DCC" w:rsidRPr="008263ED" w:rsidRDefault="00013DCC" w:rsidP="008263ED">
            <w:pPr>
              <w:spacing w:after="0" w:line="240" w:lineRule="auto"/>
              <w:rPr>
                <w:rFonts w:eastAsia="Times New Roman" w:cstheme="minorHAnsi"/>
                <w:b/>
                <w:bCs/>
                <w:sz w:val="24"/>
                <w:szCs w:val="24"/>
              </w:rPr>
            </w:pPr>
          </w:p>
        </w:tc>
        <w:tc>
          <w:tcPr>
            <w:tcW w:w="4713"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18. Site Visit</w:t>
            </w:r>
          </w:p>
        </w:tc>
        <w:tc>
          <w:tcPr>
            <w:tcW w:w="5351" w:type="dxa"/>
            <w:shd w:val="clear" w:color="auto" w:fill="auto"/>
            <w:noWrap/>
            <w:hideMark/>
          </w:tcPr>
          <w:p w:rsidR="00013DCC" w:rsidRPr="00714D47" w:rsidRDefault="00013DCC" w:rsidP="002430B8">
            <w:pPr>
              <w:spacing w:after="0" w:line="240" w:lineRule="auto"/>
              <w:jc w:val="both"/>
              <w:rPr>
                <w:rFonts w:eastAsia="Times New Roman" w:cstheme="minorHAnsi"/>
                <w:sz w:val="23"/>
                <w:szCs w:val="23"/>
              </w:rPr>
            </w:pPr>
            <w:r w:rsidRPr="00714D47">
              <w:rPr>
                <w:rFonts w:eastAsia="Times New Roman" w:cstheme="minorHAnsi"/>
                <w:sz w:val="23"/>
                <w:szCs w:val="23"/>
              </w:rPr>
              <w:t>This Point is to be deleted.</w:t>
            </w:r>
          </w:p>
        </w:tc>
      </w:tr>
      <w:tr w:rsidR="00013DCC" w:rsidRPr="008263ED" w:rsidTr="00714D47">
        <w:trPr>
          <w:trHeight w:val="315"/>
        </w:trPr>
        <w:tc>
          <w:tcPr>
            <w:tcW w:w="1135" w:type="dxa"/>
            <w:vAlign w:val="center"/>
          </w:tcPr>
          <w:p w:rsidR="00013DCC" w:rsidRPr="008263ED" w:rsidRDefault="00013DCC" w:rsidP="00703752">
            <w:pPr>
              <w:spacing w:after="0" w:line="240" w:lineRule="auto"/>
              <w:jc w:val="both"/>
              <w:rPr>
                <w:rFonts w:eastAsia="Times New Roman" w:cstheme="minorHAnsi"/>
                <w:b/>
                <w:bCs/>
                <w:sz w:val="24"/>
                <w:szCs w:val="24"/>
              </w:rPr>
            </w:pPr>
            <w:bookmarkStart w:id="5" w:name="RANGE!A10"/>
            <w:r w:rsidRPr="008263ED">
              <w:rPr>
                <w:rFonts w:eastAsia="Times New Roman" w:cstheme="minorHAnsi"/>
                <w:b/>
                <w:bCs/>
                <w:sz w:val="24"/>
                <w:szCs w:val="24"/>
              </w:rPr>
              <w:t>C. Format for Financial Proposal, Page 3</w:t>
            </w:r>
            <w:bookmarkEnd w:id="5"/>
            <w:r>
              <w:rPr>
                <w:rFonts w:eastAsia="Times New Roman" w:cstheme="minorHAnsi"/>
                <w:b/>
                <w:bCs/>
                <w:sz w:val="24"/>
                <w:szCs w:val="24"/>
              </w:rPr>
              <w:t>3</w:t>
            </w:r>
          </w:p>
        </w:tc>
        <w:tc>
          <w:tcPr>
            <w:tcW w:w="4713" w:type="dxa"/>
            <w:shd w:val="clear" w:color="auto" w:fill="auto"/>
            <w:noWrap/>
          </w:tcPr>
          <w:p w:rsidR="00013DCC" w:rsidRPr="00714D47" w:rsidRDefault="00013DCC" w:rsidP="00703752">
            <w:pPr>
              <w:spacing w:after="0" w:line="240" w:lineRule="auto"/>
              <w:jc w:val="both"/>
              <w:rPr>
                <w:rFonts w:eastAsia="Times New Roman" w:cstheme="minorHAnsi"/>
                <w:sz w:val="23"/>
                <w:szCs w:val="23"/>
              </w:rPr>
            </w:pPr>
            <w:r w:rsidRPr="00714D47">
              <w:rPr>
                <w:rFonts w:eastAsia="Times New Roman" w:cstheme="minorHAnsi"/>
                <w:sz w:val="23"/>
                <w:szCs w:val="23"/>
              </w:rPr>
              <w:t>We hereby submit our UNCONDITIONAL Financial Proposal for the captioned Project in Civic Center in Jabalpur, Madhya Pradesh. We hereby quote Concession period for the project as -------------- years as per the terms and conditions given in the Request for Proposal (RFP) Document.</w:t>
            </w:r>
          </w:p>
        </w:tc>
        <w:tc>
          <w:tcPr>
            <w:tcW w:w="5351" w:type="dxa"/>
            <w:shd w:val="clear" w:color="auto" w:fill="auto"/>
            <w:noWrap/>
          </w:tcPr>
          <w:p w:rsidR="00013DCC" w:rsidRPr="00714D47" w:rsidRDefault="00013DCC" w:rsidP="00C84C04">
            <w:pPr>
              <w:spacing w:after="0" w:line="240" w:lineRule="auto"/>
              <w:jc w:val="both"/>
              <w:rPr>
                <w:rFonts w:eastAsia="Times New Roman" w:cstheme="minorHAnsi"/>
                <w:sz w:val="23"/>
                <w:szCs w:val="23"/>
              </w:rPr>
            </w:pPr>
            <w:r w:rsidRPr="00714D47">
              <w:rPr>
                <w:rFonts w:eastAsia="Times New Roman" w:cstheme="minorHAnsi"/>
                <w:sz w:val="23"/>
                <w:szCs w:val="23"/>
              </w:rPr>
              <w:t>We hereby submit our UNCONDITIONAL Financial Proposal for the captioned Project in Civic Center in Jabalpur, Madhya Pradesh. We hereby quote Concession period for the project as ____Months as per the terms and conditions given in the Request for Proposal (RFP) Document.</w:t>
            </w:r>
          </w:p>
        </w:tc>
      </w:tr>
    </w:tbl>
    <w:p w:rsidR="008263ED" w:rsidRPr="008263ED" w:rsidRDefault="008263ED" w:rsidP="00714D47">
      <w:pPr>
        <w:jc w:val="both"/>
        <w:rPr>
          <w:rFonts w:cstheme="minorHAnsi"/>
        </w:rPr>
      </w:pPr>
    </w:p>
    <w:sectPr w:rsidR="008263ED" w:rsidRPr="008263ED" w:rsidSect="00517CC3">
      <w:pgSz w:w="12240" w:h="15840"/>
      <w:pgMar w:top="993" w:right="758" w:bottom="141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424A8"/>
    <w:multiLevelType w:val="hybridMultilevel"/>
    <w:tmpl w:val="DA24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7A1"/>
    <w:multiLevelType w:val="hybridMultilevel"/>
    <w:tmpl w:val="363AA9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804DAC"/>
    <w:multiLevelType w:val="hybridMultilevel"/>
    <w:tmpl w:val="2028E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2B7578"/>
    <w:multiLevelType w:val="hybridMultilevel"/>
    <w:tmpl w:val="8B54A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A8038C"/>
    <w:multiLevelType w:val="hybridMultilevel"/>
    <w:tmpl w:val="647C3D5A"/>
    <w:lvl w:ilvl="0" w:tplc="DDDCC4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8F3"/>
    <w:rsid w:val="00013DCC"/>
    <w:rsid w:val="000C6D78"/>
    <w:rsid w:val="002430B8"/>
    <w:rsid w:val="00296BF6"/>
    <w:rsid w:val="003F58F3"/>
    <w:rsid w:val="00517CC3"/>
    <w:rsid w:val="005520C6"/>
    <w:rsid w:val="00590AF1"/>
    <w:rsid w:val="005941DF"/>
    <w:rsid w:val="00714D47"/>
    <w:rsid w:val="007C7F8C"/>
    <w:rsid w:val="008263ED"/>
    <w:rsid w:val="00B436A9"/>
    <w:rsid w:val="00C84C04"/>
    <w:rsid w:val="00DD4CC3"/>
    <w:rsid w:val="00E32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8F3"/>
    <w:rPr>
      <w:color w:val="0000FF" w:themeColor="hyperlink"/>
      <w:u w:val="single"/>
    </w:rPr>
  </w:style>
  <w:style w:type="paragraph" w:styleId="ListParagraph">
    <w:name w:val="List Paragraph"/>
    <w:basedOn w:val="Normal"/>
    <w:uiPriority w:val="34"/>
    <w:qFormat/>
    <w:rsid w:val="008263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8F3"/>
    <w:rPr>
      <w:color w:val="0000FF" w:themeColor="hyperlink"/>
      <w:u w:val="single"/>
    </w:rPr>
  </w:style>
  <w:style w:type="paragraph" w:styleId="ListParagraph">
    <w:name w:val="List Paragraph"/>
    <w:basedOn w:val="Normal"/>
    <w:uiPriority w:val="34"/>
    <w:qFormat/>
    <w:rsid w:val="008263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859867">
      <w:bodyDiv w:val="1"/>
      <w:marLeft w:val="0"/>
      <w:marRight w:val="0"/>
      <w:marTop w:val="0"/>
      <w:marBottom w:val="0"/>
      <w:divBdr>
        <w:top w:val="none" w:sz="0" w:space="0" w:color="auto"/>
        <w:left w:val="none" w:sz="0" w:space="0" w:color="auto"/>
        <w:bottom w:val="none" w:sz="0" w:space="0" w:color="auto"/>
        <w:right w:val="none" w:sz="0" w:space="0" w:color="auto"/>
      </w:divBdr>
    </w:div>
    <w:div w:id="211694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jscljabalpu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peproc.gov.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12</cp:revision>
  <dcterms:created xsi:type="dcterms:W3CDTF">2016-11-09T12:43:00Z</dcterms:created>
  <dcterms:modified xsi:type="dcterms:W3CDTF">2016-11-10T10:33:00Z</dcterms:modified>
</cp:coreProperties>
</file>